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d987cfb32f74c90"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15227</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OSNOVNA ŠKOLA ANTE KOVAČIĆA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VI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2.269.715,18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2.339.367,33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2.492.651,90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2.374.091,18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222.936,72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34.723,85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15,6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12.558,40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7.428,30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12.558,40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7.428,30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59,2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235.495,12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42.152,15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17,9</w:t>
            </w:r>
          </w:p>
        </w:tc>
      </w:tr>
    </w:tbl>
    <w:p>
      <w:pPr>
        <w:spacing w:before="0" w:after="0"/>
      </w:pPr>
    </w:p>
    <w:p>
      <w:r>
        <w:t xml:space="preserve">    Škola posluje po pravilniku proračunskog računovodstva</w:t>
      </w:r>
    </w:p>
    <w:p>
      <w:r>
        <w:t xml:space="preserve">Ostvarena su odstupanja u poslovanju u 2026. godini u odnosu na 2025. godinu kako slijedi.</w:t>
      </w:r>
    </w:p>
    <w:p>
      <w:r>
        <w:t xml:space="preserve"> </w:t>
      </w:r>
    </w:p>
    <w:p>
      <w:r>
        <w:t xml:space="preserve">PR-RAS</w:t>
      </w:r>
    </w:p>
    <w:p>
      <w:r>
        <w:t xml:space="preserve"> </w:t>
      </w:r>
    </w:p>
    <w:p>
      <w:r>
        <w:t xml:space="preserve">6361 – Plaće su se u 2026. godini povećale u odnosu na prethodnu godinu zbog povećanja osnovice za obračun plaće, utvrđenog Odlukom Vlade Republike Hrvatske donesenom na temelju članka 31. stavka 2. Zakona o Vladi Republike Hrvatske (»Narodne novine«, br. 150/11., 119/14., 93/16., 116/18., 80/22. i 78/24.) i članka 13. stavka 2. Zakona o plaćama u državnoj službi i javnim službama (»Narodne novine«, broj 155/23.). Navedenom Odlukom osnovica za obračun plaće povećana je na 1.004,87 eura bruto od 1. siječnja 2026. godine te na 1.015,00 eura bruto od 1. travnja 2026. godine, zatim smo dobili pomoć za prehranu učenika i testove za psihodijagnostiku.</w:t>
      </w:r>
    </w:p>
    <w:p>
      <w:r>
        <w:t xml:space="preserve"> </w:t>
      </w:r>
    </w:p>
    <w:p>
      <w:r>
        <w:t xml:space="preserve">6362 – Prihodi u 2026. godini su manji u odnosu na 2025. godinu jer nismo dobili novce za udžbenike a u prethodnoj godini jesmo</w:t>
      </w:r>
    </w:p>
    <w:p>
      <w:r>
        <w:t xml:space="preserve"> </w:t>
      </w:r>
    </w:p>
    <w:p>
      <w:r>
        <w:t xml:space="preserve">6393 – Smanjenje u odnosu na 2025. godinu zbog toga što je Grad preuzeo dio zaposlenika, slijedom čega se dio rashoda za plaće više ne financira iz ovog izvora.</w:t>
      </w:r>
    </w:p>
    <w:p>
      <w:r>
        <w:t xml:space="preserve"> </w:t>
      </w:r>
    </w:p>
    <w:p>
      <w:r>
        <w:t xml:space="preserve">6615 – Smanjenje prihoda u odnosu na 2025. godinu zbog pomaka u dinamici fakturiranja, budući da se računi za korištenje školskih dvorana za mjesec lipanj ispostavljaju u srpnju, kada dio korisnika koristi dvorane do završetka mjeseca.</w:t>
      </w:r>
    </w:p>
    <w:p>
      <w:r>
        <w:t xml:space="preserve"> </w:t>
      </w:r>
    </w:p>
    <w:p>
      <w:r>
        <w:t xml:space="preserve">6631 – Povećanje u odnosu na 2025. godinu rezultat je većeg iznosa primljenih donacija, uključujući donacije knjiga i računalne opreme te sredstva za inozemne dnevnice osigurana od turističke agencije.</w:t>
      </w:r>
    </w:p>
    <w:p>
      <w:r>
        <w:t xml:space="preserve"> </w:t>
      </w:r>
    </w:p>
    <w:p>
      <w:r>
        <w:t xml:space="preserve">6711 –Povećanje u odnosu na 2025. godinu zbog povećanja osobnog odbitka</w:t>
      </w:r>
    </w:p>
    <w:p>
      <w:r>
        <w:t xml:space="preserve"> </w:t>
      </w:r>
    </w:p>
    <w:p>
      <w:r>
        <w:t xml:space="preserve"> </w:t>
      </w:r>
    </w:p>
    <w:p>
      <w:r>
        <w:t xml:space="preserve"> </w:t>
      </w:r>
    </w:p>
    <w:p>
      <w:r>
        <w:t xml:space="preserve"> </w:t>
      </w:r>
    </w:p>
    <w:p>
      <w:r>
        <w:t xml:space="preserve">3234 – Rashod je manji u odnosu na prethodnu godinu zbog  pipe na školskom dvorištu koja je bila u kvaru</w:t>
      </w:r>
    </w:p>
    <w:p>
      <w:r>
        <w:t xml:space="preserve"> </w:t>
      </w:r>
    </w:p>
    <w:p>
      <w:r>
        <w:t xml:space="preserve">3239 – Smanjenje rashoda u odnosu na 2025. godinu zbog prestanka korištenja usluga privatne zaštitarske tvrtke, nakon što je poslove zaštite preuzeo zaposlenik zaposlen putem Ministarstva znanosti i obrazovanja.</w:t>
      </w:r>
    </w:p>
    <w:p>
      <w:r>
        <w:t xml:space="preserve"> </w:t>
      </w:r>
    </w:p>
    <w:p>
      <w:r>
        <w:t xml:space="preserve">3292 – Povećanje rashoda u odnosu na 2025. godinu zbog ugovaranja police osiguranja imovine od strane Grada.</w:t>
      </w:r>
    </w:p>
    <w:p>
      <w:r>
        <w:t xml:space="preserve"> </w:t>
      </w:r>
    </w:p>
    <w:p>
      <w:r>
        <w:t xml:space="preserve">3722 – Povećanje rashoda u odnosu na 2025. godinu zbog organizacije taksi prijevoza učenika posebnog razrednog odjela.</w:t>
      </w:r>
    </w:p>
    <w:p>
      <w:r>
        <w:t xml:space="preserve"> </w:t>
      </w:r>
    </w:p>
    <w:p>
      <w:r>
        <w:br/>
      </w:r>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w:t>
      </w:r>
    </w:p>
    <w:p>
      <w:r>
        <w:t xml:space="preserve"> </w:t>
      </w:r>
    </w:p>
    <w:p>
      <w:r>
        <w:t xml:space="preserve">V009 – Stanje nedospjelih obveza na kraju izvještajnog razdoblja iznosi 353.354,50 EUR. Navedeni iznos odnosi se na obveze za isplatu plaća, za mjesec lipanj, koji dospijevaju na naplatu u srpnju.</w:t>
      </w:r>
    </w:p>
    <w:p>
      <w:r>
        <w:t xml:space="preserve"> </w:t>
      </w:r>
    </w:p>
    <w:p/>
    <w:p>
      <w:pPr>
        <w:jc w:val="center"/>
        <w:pStyle w:val="Normal"/>
        <w:spacing w:line="240" w:lineRule="auto"/>
        <w:keepNext/>
      </w:pPr>
      <w:r>
        <w:rPr>
          <w:sz w:val="28"/>
          <w:rFonts w:ascii="Times New Roman" w:hAnsi="Times New Roman"/>
        </w:rPr>
        <w:t xml:space="preserve">Bilješka 3.</w:t>
      </w:r>
    </w:p>
    <w:p>
      <w:pPr>
        <w:jc w:val="both"/>
        <w:pStyle w:val="Normal"/>
        <w:spacing w:line="240" w:lineRule="auto"/>
      </w:pPr>
      <w:r>
        <w:rPr>
          <w:b/>
          <w:sz w:val="24"/>
          <w:rFonts w:ascii="Times New Roman" w:hAnsi="Times New Roman"/>
        </w:rPr>
        <w:t xml:space="preserve">EU izvještaj</w:t>
      </w:r>
    </w:p>
    <w:p>
      <w:r>
        <w:t xml:space="preserve">Bilješka o prihodima poslovanja</w:t>
      </w:r>
      <w:r>
        <w:br/>
      </w:r>
      <w:r>
        <w:t xml:space="preserve">U izvještajnom razdoblju prihodi poslovanja ostvareni su manje u odnosu na prethodnu godinu .Smanjenje prihoda rezultat je manjeg opsega realiziranih projektnih aktivnosti financiranih iz EU sredstava tijekom izvještajnog razdoblja, kao i vremenskog pomaka u provedbi pojedinih aktivnosti. Dodatno, na ovom izvoru evidentirani su i troškovi prekovremenog rada koordinatora pomoćnika u nastavi.</w:t>
      </w:r>
      <w:r>
        <w:br/>
      </w:r>
      <w:r>
        <w:t xml:space="preserve">Svi ostvareni prihodi odnose se na tekuće prijenose između proračunskih korisnika istog proračuna temeljem prijenosa EU sredstava (šifra 6393).</w:t>
      </w:r>
    </w:p>
    <w:p>
      <w:r>
        <w:t xml:space="preserve"> </w:t>
      </w:r>
      <w:r>
        <w:br/>
      </w:r>
      <w:r>
        <w:t xml:space="preserve">Bilješka o primicima od financijske imovine i zaduživanja</w:t>
      </w:r>
      <w:r>
        <w:br/>
      </w:r>
      <w:r>
        <w:t xml:space="preserve">U izvještajnom razdoblju nisu ostvareni primici od financijske imovine niti zaduživanja.</w:t>
      </w:r>
    </w:p>
    <w:p>
      <w:r>
        <w:t xml:space="preserve"> </w:t>
      </w:r>
      <w:r>
        <w:br/>
      </w:r>
      <w:r>
        <w:t xml:space="preserve">Bilješka o rashodima poslovanja</w:t>
      </w:r>
      <w:r>
        <w:br/>
      </w:r>
      <w:r>
        <w:t xml:space="preserve">Rashodi poslovanja u izvještajnom razdoblju iznose 55.885,17 EUR. Najveći dio rashoda odnosi se na rashode za zaposlene, prvenstveno na plaće i pripadajuće doprinose, sukladno ugovorenim </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dd48492f09cb43b2" /></Relationships>
</file>